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06C" w:rsidRPr="00DE706C" w:rsidRDefault="00DE706C" w:rsidP="00A16B80">
      <w:pPr>
        <w:rPr>
          <w:rFonts w:eastAsia="Times New Roman" w:cstheme="minorHAnsi"/>
          <w:b/>
          <w:bCs/>
          <w:color w:val="000000"/>
          <w:sz w:val="28"/>
          <w:szCs w:val="28"/>
          <w:u w:val="single"/>
        </w:rPr>
      </w:pPr>
    </w:p>
    <w:p w:rsidR="00DE706C" w:rsidRPr="00DE706C" w:rsidRDefault="00A16B80" w:rsidP="00DE706C">
      <w:pPr>
        <w:jc w:val="center"/>
        <w:rPr>
          <w:rFonts w:eastAsia="Times New Roman" w:cstheme="minorHAnsi"/>
          <w:b/>
          <w:sz w:val="32"/>
          <w:szCs w:val="32"/>
        </w:rPr>
      </w:pPr>
      <w:r w:rsidRPr="00DE706C">
        <w:rPr>
          <w:rFonts w:eastAsia="Times New Roman" w:cstheme="minorHAnsi"/>
          <w:sz w:val="28"/>
          <w:szCs w:val="28"/>
        </w:rPr>
        <w:br/>
      </w:r>
      <w:r w:rsidRPr="00DE706C">
        <w:rPr>
          <w:rFonts w:eastAsia="Times New Roman" w:cstheme="minorHAnsi"/>
          <w:sz w:val="28"/>
          <w:szCs w:val="28"/>
        </w:rPr>
        <w:br/>
      </w:r>
      <w:r w:rsidRPr="00DE706C">
        <w:rPr>
          <w:rFonts w:eastAsia="Times New Roman" w:cstheme="minorHAnsi"/>
          <w:sz w:val="28"/>
          <w:szCs w:val="28"/>
        </w:rPr>
        <w:br/>
      </w:r>
      <w:r w:rsidR="00DE706C" w:rsidRPr="00DE706C">
        <w:rPr>
          <w:rFonts w:eastAsia="Times New Roman" w:cstheme="minorHAnsi"/>
          <w:b/>
          <w:sz w:val="32"/>
          <w:szCs w:val="32"/>
        </w:rPr>
        <w:t>Severity Terminology and Definitions</w:t>
      </w:r>
    </w:p>
    <w:p w:rsidR="00DE706C" w:rsidRPr="00DE706C" w:rsidRDefault="00DE706C" w:rsidP="00DE706C">
      <w:pPr>
        <w:jc w:val="center"/>
        <w:rPr>
          <w:rFonts w:eastAsia="Times New Roman" w:cstheme="minorHAnsi"/>
          <w:sz w:val="28"/>
          <w:szCs w:val="28"/>
        </w:rPr>
      </w:pPr>
    </w:p>
    <w:p w:rsidR="00DE706C" w:rsidRDefault="00DE706C" w:rsidP="00DE706C">
      <w:pPr>
        <w:rPr>
          <w:rFonts w:eastAsia="Times New Roman" w:cstheme="minorHAnsi"/>
          <w:sz w:val="28"/>
          <w:szCs w:val="28"/>
        </w:rPr>
      </w:pPr>
      <w:r>
        <w:rPr>
          <w:rFonts w:eastAsia="Times New Roman" w:cstheme="minorHAnsi"/>
          <w:sz w:val="28"/>
          <w:szCs w:val="28"/>
        </w:rPr>
        <w:t>Our PLC will adopt the terminology for severity as outlined in various test manuals.  The severity terms from the CELF-4 and the PPVT-4 are included as a reference point.</w:t>
      </w:r>
    </w:p>
    <w:p w:rsidR="00A16B80" w:rsidRPr="00DE706C" w:rsidRDefault="00DE706C" w:rsidP="00DE706C">
      <w:pPr>
        <w:rPr>
          <w:rFonts w:eastAsia="Times New Roman" w:cstheme="minorHAnsi"/>
          <w:sz w:val="28"/>
          <w:szCs w:val="28"/>
        </w:rPr>
      </w:pPr>
      <w:r w:rsidRPr="00DE706C">
        <w:rPr>
          <w:rFonts w:eastAsia="Times New Roman" w:cstheme="minorHAnsi"/>
          <w:sz w:val="28"/>
          <w:szCs w:val="28"/>
        </w:rPr>
        <w:t xml:space="preserve"> </w:t>
      </w:r>
      <w:r w:rsidR="00A16B80" w:rsidRPr="00DE706C">
        <w:rPr>
          <w:rFonts w:eastAsia="Times New Roman" w:cstheme="minorHAnsi"/>
          <w:sz w:val="28"/>
          <w:szCs w:val="28"/>
        </w:rPr>
        <w:br/>
      </w:r>
      <w:r w:rsidR="00A16B80" w:rsidRPr="00DE706C">
        <w:rPr>
          <w:rFonts w:eastAsia="Times New Roman" w:cstheme="minorHAnsi"/>
          <w:color w:val="000000"/>
          <w:sz w:val="28"/>
          <w:szCs w:val="28"/>
          <w:u w:val="single"/>
        </w:rPr>
        <w:t>Clinical Evaluation of Language Fundamentals – 4th Edition (CELF-4)</w:t>
      </w:r>
    </w:p>
    <w:tbl>
      <w:tblPr>
        <w:tblW w:w="0" w:type="auto"/>
        <w:tblCellMar>
          <w:top w:w="15" w:type="dxa"/>
          <w:left w:w="15" w:type="dxa"/>
          <w:bottom w:w="15" w:type="dxa"/>
          <w:right w:w="15" w:type="dxa"/>
        </w:tblCellMar>
        <w:tblLook w:val="04A0"/>
      </w:tblPr>
      <w:tblGrid>
        <w:gridCol w:w="2547"/>
        <w:gridCol w:w="3203"/>
        <w:gridCol w:w="2079"/>
        <w:gridCol w:w="1793"/>
      </w:tblGrid>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jc w:val="center"/>
              <w:rPr>
                <w:rFonts w:eastAsia="Times New Roman" w:cstheme="minorHAnsi"/>
                <w:sz w:val="28"/>
                <w:szCs w:val="28"/>
              </w:rPr>
            </w:pPr>
            <w:r w:rsidRPr="00DE706C">
              <w:rPr>
                <w:rFonts w:eastAsia="Times New Roman" w:cstheme="minorHAnsi"/>
                <w:color w:val="000000"/>
                <w:sz w:val="28"/>
                <w:szCs w:val="28"/>
              </w:rPr>
              <w:t>Core Language Score &amp; Index Scores</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jc w:val="center"/>
              <w:rPr>
                <w:rFonts w:eastAsia="Times New Roman" w:cstheme="minorHAnsi"/>
                <w:sz w:val="28"/>
                <w:szCs w:val="28"/>
              </w:rPr>
            </w:pPr>
            <w:r w:rsidRPr="00DE706C">
              <w:rPr>
                <w:rFonts w:eastAsia="Times New Roman" w:cstheme="minorHAnsi"/>
                <w:color w:val="000000"/>
                <w:sz w:val="28"/>
                <w:szCs w:val="28"/>
              </w:rPr>
              <w:t>Classification</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jc w:val="center"/>
              <w:rPr>
                <w:rFonts w:eastAsia="Times New Roman" w:cstheme="minorHAnsi"/>
                <w:sz w:val="28"/>
                <w:szCs w:val="28"/>
              </w:rPr>
            </w:pPr>
            <w:r w:rsidRPr="00DE706C">
              <w:rPr>
                <w:rFonts w:eastAsia="Times New Roman" w:cstheme="minorHAnsi"/>
                <w:color w:val="000000"/>
                <w:sz w:val="28"/>
                <w:szCs w:val="28"/>
              </w:rPr>
              <w:t>Relationship to Mean</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jc w:val="center"/>
              <w:rPr>
                <w:rFonts w:eastAsia="Times New Roman" w:cstheme="minorHAnsi"/>
                <w:sz w:val="28"/>
                <w:szCs w:val="28"/>
              </w:rPr>
            </w:pPr>
            <w:r w:rsidRPr="00DE706C">
              <w:rPr>
                <w:rFonts w:eastAsia="Times New Roman" w:cstheme="minorHAnsi"/>
                <w:color w:val="000000"/>
                <w:sz w:val="28"/>
                <w:szCs w:val="28"/>
              </w:rPr>
              <w:t>Percentile Ranking</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115 and above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Above average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+1 SD and above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84 and above</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86 to 114</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Average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Within + or – 1 SD</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16 to 83</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78 to 85</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Marginal/Borderline/Mild</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Within -1 to –1.5 SD</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7 to 15</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71 to 77</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Low range/Moderate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Within -1.5 to -2 SD</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2 to 6</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70 and below</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Very low range/Severe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-2 SD and below</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&lt; 2</w:t>
            </w:r>
          </w:p>
        </w:tc>
      </w:tr>
    </w:tbl>
    <w:p w:rsidR="00DE706C" w:rsidRDefault="00A16B80" w:rsidP="00A16B80">
      <w:pPr>
        <w:rPr>
          <w:rFonts w:eastAsia="Times New Roman" w:cstheme="minorHAnsi"/>
          <w:color w:val="000000"/>
          <w:sz w:val="28"/>
          <w:szCs w:val="28"/>
          <w:u w:val="single"/>
        </w:rPr>
      </w:pPr>
      <w:r w:rsidRPr="00DE706C">
        <w:rPr>
          <w:rFonts w:eastAsia="Times New Roman" w:cstheme="minorHAnsi"/>
          <w:sz w:val="28"/>
          <w:szCs w:val="28"/>
        </w:rPr>
        <w:br/>
      </w:r>
      <w:r w:rsidRPr="00DE706C">
        <w:rPr>
          <w:rFonts w:eastAsia="Times New Roman" w:cstheme="minorHAnsi"/>
          <w:sz w:val="28"/>
          <w:szCs w:val="28"/>
        </w:rPr>
        <w:br/>
      </w:r>
    </w:p>
    <w:p w:rsidR="00DE706C" w:rsidRDefault="00DE706C" w:rsidP="00A16B80">
      <w:pPr>
        <w:rPr>
          <w:rFonts w:eastAsia="Times New Roman" w:cstheme="minorHAnsi"/>
          <w:color w:val="000000"/>
          <w:sz w:val="28"/>
          <w:szCs w:val="28"/>
          <w:u w:val="single"/>
        </w:rPr>
      </w:pPr>
    </w:p>
    <w:p w:rsidR="00DE706C" w:rsidRDefault="00DE706C" w:rsidP="00A16B80">
      <w:pPr>
        <w:rPr>
          <w:rFonts w:eastAsia="Times New Roman" w:cstheme="minorHAnsi"/>
          <w:color w:val="000000"/>
          <w:sz w:val="28"/>
          <w:szCs w:val="28"/>
          <w:u w:val="single"/>
        </w:rPr>
      </w:pPr>
    </w:p>
    <w:p w:rsidR="00DE706C" w:rsidRDefault="00DE706C" w:rsidP="00A16B80">
      <w:pPr>
        <w:rPr>
          <w:rFonts w:eastAsia="Times New Roman" w:cstheme="minorHAnsi"/>
          <w:color w:val="000000"/>
          <w:sz w:val="28"/>
          <w:szCs w:val="28"/>
          <w:u w:val="single"/>
        </w:rPr>
      </w:pPr>
    </w:p>
    <w:p w:rsidR="00DE706C" w:rsidRDefault="00DE706C" w:rsidP="00A16B80">
      <w:pPr>
        <w:rPr>
          <w:rFonts w:eastAsia="Times New Roman" w:cstheme="minorHAnsi"/>
          <w:color w:val="000000"/>
          <w:sz w:val="28"/>
          <w:szCs w:val="28"/>
          <w:u w:val="single"/>
        </w:rPr>
      </w:pPr>
    </w:p>
    <w:p w:rsidR="00DE706C" w:rsidRDefault="00DE706C" w:rsidP="00A16B80">
      <w:pPr>
        <w:rPr>
          <w:rFonts w:eastAsia="Times New Roman" w:cstheme="minorHAnsi"/>
          <w:color w:val="000000"/>
          <w:sz w:val="28"/>
          <w:szCs w:val="28"/>
          <w:u w:val="single"/>
        </w:rPr>
      </w:pPr>
    </w:p>
    <w:p w:rsidR="00DE706C" w:rsidRDefault="00DE706C" w:rsidP="00A16B80">
      <w:pPr>
        <w:rPr>
          <w:rFonts w:eastAsia="Times New Roman" w:cstheme="minorHAnsi"/>
          <w:color w:val="000000"/>
          <w:sz w:val="28"/>
          <w:szCs w:val="28"/>
          <w:u w:val="single"/>
        </w:rPr>
      </w:pPr>
    </w:p>
    <w:p w:rsidR="00DE706C" w:rsidRDefault="00DE706C" w:rsidP="00A16B80">
      <w:pPr>
        <w:rPr>
          <w:rFonts w:eastAsia="Times New Roman" w:cstheme="minorHAnsi"/>
          <w:color w:val="000000"/>
          <w:sz w:val="28"/>
          <w:szCs w:val="28"/>
          <w:u w:val="single"/>
        </w:rPr>
      </w:pPr>
    </w:p>
    <w:p w:rsidR="00DE706C" w:rsidRDefault="00DE706C" w:rsidP="00A16B80">
      <w:pPr>
        <w:rPr>
          <w:rFonts w:eastAsia="Times New Roman" w:cstheme="minorHAnsi"/>
          <w:color w:val="000000"/>
          <w:sz w:val="28"/>
          <w:szCs w:val="28"/>
          <w:u w:val="single"/>
        </w:rPr>
      </w:pPr>
    </w:p>
    <w:p w:rsidR="00DE706C" w:rsidRDefault="00DE706C" w:rsidP="00A16B80">
      <w:pPr>
        <w:rPr>
          <w:rFonts w:eastAsia="Times New Roman" w:cstheme="minorHAnsi"/>
          <w:color w:val="000000"/>
          <w:sz w:val="28"/>
          <w:szCs w:val="28"/>
          <w:u w:val="single"/>
        </w:rPr>
      </w:pPr>
    </w:p>
    <w:p w:rsidR="00A16B80" w:rsidRPr="00DE706C" w:rsidRDefault="00A16B80" w:rsidP="00A16B80">
      <w:pPr>
        <w:rPr>
          <w:rFonts w:eastAsia="Times New Roman" w:cstheme="minorHAnsi"/>
          <w:sz w:val="28"/>
          <w:szCs w:val="28"/>
        </w:rPr>
      </w:pPr>
      <w:r w:rsidRPr="00DE706C">
        <w:rPr>
          <w:rFonts w:eastAsia="Times New Roman" w:cstheme="minorHAnsi"/>
          <w:color w:val="000000"/>
          <w:sz w:val="28"/>
          <w:szCs w:val="28"/>
          <w:u w:val="single"/>
        </w:rPr>
        <w:t>Peabody Picture Vocabulary Test – 4th Edition (PPVT-4)</w:t>
      </w:r>
    </w:p>
    <w:tbl>
      <w:tblPr>
        <w:tblW w:w="0" w:type="auto"/>
        <w:tblCellMar>
          <w:top w:w="15" w:type="dxa"/>
          <w:left w:w="15" w:type="dxa"/>
          <w:bottom w:w="15" w:type="dxa"/>
          <w:right w:w="15" w:type="dxa"/>
        </w:tblCellMar>
        <w:tblLook w:val="04A0"/>
      </w:tblPr>
      <w:tblGrid>
        <w:gridCol w:w="1938"/>
        <w:gridCol w:w="2745"/>
        <w:gridCol w:w="2629"/>
        <w:gridCol w:w="2310"/>
      </w:tblGrid>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jc w:val="center"/>
              <w:rPr>
                <w:rFonts w:eastAsia="Times New Roman" w:cstheme="minorHAnsi"/>
                <w:sz w:val="28"/>
                <w:szCs w:val="28"/>
              </w:rPr>
            </w:pPr>
            <w:r w:rsidRPr="00DE706C">
              <w:rPr>
                <w:rFonts w:eastAsia="Times New Roman" w:cstheme="minorHAnsi"/>
                <w:color w:val="000000"/>
                <w:sz w:val="28"/>
                <w:szCs w:val="28"/>
              </w:rPr>
              <w:t>Standard Score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jc w:val="center"/>
              <w:rPr>
                <w:rFonts w:eastAsia="Times New Roman" w:cstheme="minorHAnsi"/>
                <w:sz w:val="28"/>
                <w:szCs w:val="28"/>
              </w:rPr>
            </w:pPr>
            <w:r w:rsidRPr="00DE706C">
              <w:rPr>
                <w:rFonts w:eastAsia="Times New Roman" w:cstheme="minorHAnsi"/>
                <w:color w:val="000000"/>
                <w:sz w:val="28"/>
                <w:szCs w:val="28"/>
              </w:rPr>
              <w:t>Classification</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jc w:val="center"/>
              <w:rPr>
                <w:rFonts w:eastAsia="Times New Roman" w:cstheme="minorHAnsi"/>
                <w:sz w:val="28"/>
                <w:szCs w:val="28"/>
              </w:rPr>
            </w:pPr>
            <w:r w:rsidRPr="00DE706C">
              <w:rPr>
                <w:rFonts w:eastAsia="Times New Roman" w:cstheme="minorHAnsi"/>
                <w:color w:val="000000"/>
                <w:sz w:val="28"/>
                <w:szCs w:val="28"/>
              </w:rPr>
              <w:t>Relationship to Mean</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jc w:val="center"/>
              <w:rPr>
                <w:rFonts w:eastAsia="Times New Roman" w:cstheme="minorHAnsi"/>
                <w:sz w:val="28"/>
                <w:szCs w:val="28"/>
              </w:rPr>
            </w:pPr>
            <w:r w:rsidRPr="00DE706C">
              <w:rPr>
                <w:rFonts w:eastAsia="Times New Roman" w:cstheme="minorHAnsi"/>
                <w:color w:val="000000"/>
                <w:sz w:val="28"/>
                <w:szCs w:val="28"/>
              </w:rPr>
              <w:t>Percentile Ranking</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130 and above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Extremely high score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+2 SD and above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98 and above</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115 to 129</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Moderately high score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+ 1 to +2 SD</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84 to 97</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100 to 114</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High average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Avg. To +1 SD</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50 to 83</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85 to 99</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Low average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-1 SD to Avg.</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16 to 49</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70 to 84</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Moderate low score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-2 SD to -1SD</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2 to 15</w:t>
            </w:r>
          </w:p>
        </w:tc>
      </w:tr>
      <w:tr w:rsidR="00A16B80" w:rsidRPr="00DE706C" w:rsidTr="00DE706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69 and below</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Extremely low score</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-2 SD and below</w:t>
            </w:r>
          </w:p>
        </w:tc>
        <w:tc>
          <w:tcPr>
            <w:tcW w:w="0" w:type="auto"/>
            <w:tcBorders>
              <w:top w:val="single" w:sz="4" w:space="0" w:color="auto"/>
              <w:left w:val="single" w:sz="4" w:space="0" w:color="auto"/>
              <w:bottom w:val="single" w:sz="4" w:space="0" w:color="auto"/>
              <w:right w:val="single" w:sz="4" w:space="0" w:color="auto"/>
            </w:tcBorders>
            <w:tcMar>
              <w:top w:w="131" w:type="dxa"/>
              <w:left w:w="131" w:type="dxa"/>
              <w:bottom w:w="131" w:type="dxa"/>
              <w:right w:w="131" w:type="dxa"/>
            </w:tcMar>
            <w:hideMark/>
          </w:tcPr>
          <w:p w:rsidR="00A16B80" w:rsidRPr="00DE706C" w:rsidRDefault="00A16B80" w:rsidP="005638A3">
            <w:pPr>
              <w:spacing w:line="0" w:lineRule="atLeast"/>
              <w:rPr>
                <w:rFonts w:eastAsia="Times New Roman" w:cstheme="minorHAnsi"/>
                <w:sz w:val="28"/>
                <w:szCs w:val="28"/>
              </w:rPr>
            </w:pPr>
            <w:r w:rsidRPr="00DE706C">
              <w:rPr>
                <w:rFonts w:eastAsia="Times New Roman" w:cstheme="minorHAnsi"/>
                <w:color w:val="000000"/>
                <w:sz w:val="28"/>
                <w:szCs w:val="28"/>
              </w:rPr>
              <w:t>&lt; 2</w:t>
            </w:r>
          </w:p>
        </w:tc>
      </w:tr>
    </w:tbl>
    <w:p w:rsidR="00DE706C" w:rsidRDefault="00A16B80" w:rsidP="00A16B80">
      <w:pPr>
        <w:rPr>
          <w:rFonts w:eastAsia="Times New Roman" w:cstheme="minorHAnsi"/>
          <w:b/>
          <w:bCs/>
          <w:color w:val="000000"/>
          <w:sz w:val="28"/>
          <w:szCs w:val="28"/>
        </w:rPr>
      </w:pPr>
      <w:r w:rsidRPr="00DE706C">
        <w:rPr>
          <w:rFonts w:eastAsia="Times New Roman" w:cstheme="minorHAnsi"/>
          <w:sz w:val="28"/>
          <w:szCs w:val="28"/>
        </w:rPr>
        <w:br/>
      </w:r>
      <w:r w:rsidRPr="00DE706C">
        <w:rPr>
          <w:rFonts w:eastAsia="Times New Roman" w:cstheme="minorHAnsi"/>
          <w:color w:val="000000"/>
          <w:sz w:val="28"/>
          <w:szCs w:val="28"/>
        </w:rPr>
        <w:t>From the parent report in the PPVT (definitions)</w:t>
      </w:r>
      <w:proofErr w:type="gramStart"/>
      <w:r w:rsidRPr="00DE706C">
        <w:rPr>
          <w:rFonts w:eastAsia="Times New Roman" w:cstheme="minorHAnsi"/>
          <w:color w:val="000000"/>
          <w:sz w:val="28"/>
          <w:szCs w:val="28"/>
        </w:rPr>
        <w:t>:</w:t>
      </w:r>
      <w:proofErr w:type="gramEnd"/>
      <w:r w:rsidRPr="00DE706C">
        <w:rPr>
          <w:rFonts w:eastAsia="Times New Roman" w:cstheme="minorHAnsi"/>
          <w:sz w:val="28"/>
          <w:szCs w:val="28"/>
        </w:rPr>
        <w:br/>
      </w:r>
      <w:r w:rsidRPr="00DE706C">
        <w:rPr>
          <w:rFonts w:eastAsia="Times New Roman" w:cstheme="minorHAnsi"/>
          <w:sz w:val="28"/>
          <w:szCs w:val="28"/>
        </w:rPr>
        <w:br/>
      </w:r>
      <w:r w:rsidRPr="00DE706C">
        <w:rPr>
          <w:rFonts w:eastAsia="Times New Roman" w:cstheme="minorHAnsi"/>
          <w:i/>
          <w:iCs/>
          <w:color w:val="000000"/>
          <w:sz w:val="28"/>
          <w:szCs w:val="28"/>
        </w:rPr>
        <w:t>A</w:t>
      </w:r>
      <w:r w:rsidRPr="00DE706C">
        <w:rPr>
          <w:rFonts w:eastAsia="Times New Roman" w:cstheme="minorHAnsi"/>
          <w:b/>
          <w:bCs/>
          <w:i/>
          <w:iCs/>
          <w:color w:val="000000"/>
          <w:sz w:val="28"/>
          <w:szCs w:val="28"/>
        </w:rPr>
        <w:t xml:space="preserve"> standard score</w:t>
      </w:r>
      <w:r w:rsidRPr="00DE706C">
        <w:rPr>
          <w:rFonts w:eastAsia="Times New Roman" w:cstheme="minorHAnsi"/>
          <w:i/>
          <w:iCs/>
          <w:color w:val="000000"/>
          <w:sz w:val="28"/>
          <w:szCs w:val="28"/>
        </w:rPr>
        <w:t xml:space="preserve"> shows how your child’s raw score differs from the average by converting the raw score to a score on a new scale.  A standard score of 100 is average for a student’s age or grade.  </w:t>
      </w:r>
      <w:proofErr w:type="gramStart"/>
      <w:r w:rsidRPr="00DE706C">
        <w:rPr>
          <w:rFonts w:eastAsia="Times New Roman" w:cstheme="minorHAnsi"/>
          <w:i/>
          <w:iCs/>
          <w:color w:val="000000"/>
          <w:sz w:val="28"/>
          <w:szCs w:val="28"/>
        </w:rPr>
        <w:t>Standard scores higher than 100 are above average, and those lower than 100 are below average.</w:t>
      </w:r>
      <w:proofErr w:type="gramEnd"/>
      <w:r w:rsidRPr="00DE706C">
        <w:rPr>
          <w:rFonts w:eastAsia="Times New Roman" w:cstheme="minorHAnsi"/>
          <w:i/>
          <w:iCs/>
          <w:color w:val="000000"/>
          <w:sz w:val="28"/>
          <w:szCs w:val="28"/>
        </w:rPr>
        <w:t xml:space="preserve">  For example, if your child’s standard score is </w:t>
      </w:r>
      <w:proofErr w:type="gramStart"/>
      <w:r w:rsidRPr="00DE706C">
        <w:rPr>
          <w:rFonts w:eastAsia="Times New Roman" w:cstheme="minorHAnsi"/>
          <w:i/>
          <w:iCs/>
          <w:color w:val="000000"/>
          <w:sz w:val="28"/>
          <w:szCs w:val="28"/>
        </w:rPr>
        <w:t>110,</w:t>
      </w:r>
      <w:proofErr w:type="gramEnd"/>
      <w:r w:rsidRPr="00DE706C">
        <w:rPr>
          <w:rFonts w:eastAsia="Times New Roman" w:cstheme="minorHAnsi"/>
          <w:i/>
          <w:iCs/>
          <w:color w:val="000000"/>
          <w:sz w:val="28"/>
          <w:szCs w:val="28"/>
        </w:rPr>
        <w:t xml:space="preserve"> this indicates a high average performance on the test.  If the score is 89, that indicates a low average performance.</w:t>
      </w:r>
      <w:r w:rsidRPr="00DE706C">
        <w:rPr>
          <w:rFonts w:eastAsia="Times New Roman" w:cstheme="minorHAnsi"/>
          <w:sz w:val="28"/>
          <w:szCs w:val="28"/>
        </w:rPr>
        <w:br/>
      </w:r>
      <w:r w:rsidRPr="00DE706C">
        <w:rPr>
          <w:rFonts w:eastAsia="Times New Roman" w:cstheme="minorHAnsi"/>
          <w:sz w:val="28"/>
          <w:szCs w:val="28"/>
        </w:rPr>
        <w:br/>
      </w:r>
      <w:r w:rsidRPr="00DE706C">
        <w:rPr>
          <w:rFonts w:eastAsia="Times New Roman" w:cstheme="minorHAnsi"/>
          <w:i/>
          <w:iCs/>
          <w:color w:val="000000"/>
          <w:sz w:val="28"/>
          <w:szCs w:val="28"/>
        </w:rPr>
        <w:t xml:space="preserve">A </w:t>
      </w:r>
      <w:r w:rsidRPr="00DE706C">
        <w:rPr>
          <w:rFonts w:eastAsia="Times New Roman" w:cstheme="minorHAnsi"/>
          <w:b/>
          <w:bCs/>
          <w:i/>
          <w:iCs/>
          <w:color w:val="000000"/>
          <w:sz w:val="28"/>
          <w:szCs w:val="28"/>
        </w:rPr>
        <w:t>percentile</w:t>
      </w:r>
      <w:r w:rsidRPr="00DE706C">
        <w:rPr>
          <w:rFonts w:eastAsia="Times New Roman" w:cstheme="minorHAnsi"/>
          <w:i/>
          <w:iCs/>
          <w:color w:val="000000"/>
          <w:sz w:val="28"/>
          <w:szCs w:val="28"/>
        </w:rPr>
        <w:t xml:space="preserve"> indicates the percentage of students in the group tested who performed at or below your child’s score.  For example, if your child’s percentile is 64, this means that he or she performed as well or better than 64% of the children of the same age or in the same grade. (p. 198)</w:t>
      </w:r>
      <w:r w:rsidRPr="00DE706C">
        <w:rPr>
          <w:rFonts w:eastAsia="Times New Roman" w:cstheme="minorHAnsi"/>
          <w:sz w:val="28"/>
          <w:szCs w:val="28"/>
        </w:rPr>
        <w:br/>
      </w:r>
      <w:r w:rsidRPr="00DE706C">
        <w:rPr>
          <w:rFonts w:eastAsia="Times New Roman" w:cstheme="minorHAnsi"/>
          <w:sz w:val="28"/>
          <w:szCs w:val="28"/>
        </w:rPr>
        <w:br/>
      </w:r>
    </w:p>
    <w:p w:rsidR="00DE706C" w:rsidRDefault="00DE706C" w:rsidP="00A16B80">
      <w:pPr>
        <w:rPr>
          <w:rFonts w:eastAsia="Times New Roman" w:cstheme="minorHAnsi"/>
          <w:b/>
          <w:bCs/>
          <w:color w:val="000000"/>
          <w:sz w:val="28"/>
          <w:szCs w:val="28"/>
        </w:rPr>
      </w:pPr>
    </w:p>
    <w:p w:rsidR="00DE706C" w:rsidRDefault="00DE706C" w:rsidP="00A16B80">
      <w:pPr>
        <w:rPr>
          <w:rFonts w:eastAsia="Times New Roman" w:cstheme="minorHAnsi"/>
          <w:b/>
          <w:bCs/>
          <w:color w:val="000000"/>
          <w:sz w:val="28"/>
          <w:szCs w:val="28"/>
        </w:rPr>
      </w:pPr>
    </w:p>
    <w:p w:rsidR="00DE706C" w:rsidRDefault="00DE706C" w:rsidP="00A16B80">
      <w:pPr>
        <w:rPr>
          <w:rFonts w:eastAsia="Times New Roman" w:cstheme="minorHAnsi"/>
          <w:b/>
          <w:bCs/>
          <w:color w:val="000000"/>
          <w:sz w:val="28"/>
          <w:szCs w:val="28"/>
        </w:rPr>
      </w:pPr>
    </w:p>
    <w:p w:rsidR="00DE706C" w:rsidRDefault="00DE706C" w:rsidP="00A16B80">
      <w:pPr>
        <w:rPr>
          <w:rFonts w:eastAsia="Times New Roman" w:cstheme="minorHAnsi"/>
          <w:b/>
          <w:bCs/>
          <w:color w:val="000000"/>
          <w:sz w:val="28"/>
          <w:szCs w:val="28"/>
        </w:rPr>
      </w:pPr>
    </w:p>
    <w:p w:rsidR="00DE706C" w:rsidRDefault="00DE706C" w:rsidP="00A16B80">
      <w:pPr>
        <w:rPr>
          <w:rFonts w:eastAsia="Times New Roman" w:cstheme="minorHAnsi"/>
          <w:b/>
          <w:bCs/>
          <w:color w:val="000000"/>
          <w:sz w:val="28"/>
          <w:szCs w:val="28"/>
        </w:rPr>
      </w:pPr>
      <w:r>
        <w:rPr>
          <w:rFonts w:eastAsia="Times New Roman" w:cstheme="minorHAnsi"/>
          <w:b/>
          <w:bCs/>
          <w:color w:val="000000"/>
          <w:sz w:val="28"/>
          <w:szCs w:val="28"/>
        </w:rPr>
        <w:t>For Future Discussion:</w:t>
      </w:r>
    </w:p>
    <w:p w:rsidR="00DE706C" w:rsidRDefault="00DE706C" w:rsidP="00A16B80">
      <w:pPr>
        <w:rPr>
          <w:rFonts w:eastAsia="Times New Roman" w:cstheme="minorHAnsi"/>
          <w:b/>
          <w:bCs/>
          <w:color w:val="000000"/>
          <w:sz w:val="28"/>
          <w:szCs w:val="28"/>
        </w:rPr>
      </w:pPr>
    </w:p>
    <w:p w:rsidR="00A16B80" w:rsidRPr="00DE706C" w:rsidRDefault="00DE706C" w:rsidP="00A16B80">
      <w:pPr>
        <w:rPr>
          <w:rFonts w:cstheme="minorHAnsi"/>
          <w:sz w:val="28"/>
          <w:szCs w:val="28"/>
        </w:rPr>
      </w:pPr>
      <w:r w:rsidRPr="00DE706C">
        <w:rPr>
          <w:rFonts w:eastAsia="Times New Roman" w:cstheme="minorHAnsi"/>
          <w:bCs/>
          <w:color w:val="000000"/>
          <w:sz w:val="28"/>
          <w:szCs w:val="28"/>
        </w:rPr>
        <w:t>The following is the</w:t>
      </w:r>
      <w:r w:rsidR="00A16B80" w:rsidRPr="00DE706C">
        <w:rPr>
          <w:rFonts w:eastAsia="Times New Roman" w:cstheme="minorHAnsi"/>
          <w:bCs/>
          <w:color w:val="000000"/>
          <w:sz w:val="28"/>
          <w:szCs w:val="28"/>
        </w:rPr>
        <w:t xml:space="preserve"> terminology presented by Wayne Secord in </w:t>
      </w:r>
      <w:r w:rsidR="00A16B80" w:rsidRPr="00DE706C">
        <w:rPr>
          <w:rFonts w:eastAsia="Times New Roman" w:cstheme="minorHAnsi"/>
          <w:bCs/>
          <w:i/>
          <w:iCs/>
          <w:color w:val="000000"/>
          <w:sz w:val="28"/>
          <w:szCs w:val="28"/>
        </w:rPr>
        <w:t>Pathways to Excellence</w:t>
      </w:r>
      <w:r w:rsidR="00A16B80" w:rsidRPr="00DE706C">
        <w:rPr>
          <w:rFonts w:eastAsia="Times New Roman" w:cstheme="minorHAnsi"/>
          <w:bCs/>
          <w:color w:val="000000"/>
          <w:sz w:val="28"/>
          <w:szCs w:val="28"/>
        </w:rPr>
        <w:t>:</w:t>
      </w:r>
      <w:r w:rsidR="00A16B80" w:rsidRPr="00DE706C">
        <w:rPr>
          <w:rFonts w:eastAsia="Times New Roman" w:cstheme="minorHAnsi"/>
          <w:sz w:val="28"/>
          <w:szCs w:val="28"/>
        </w:rPr>
        <w:br/>
      </w:r>
      <w:r w:rsidR="00A16B80" w:rsidRPr="00DE706C">
        <w:rPr>
          <w:rFonts w:eastAsia="Times New Roman" w:cstheme="minorHAnsi"/>
          <w:sz w:val="28"/>
          <w:szCs w:val="28"/>
        </w:rPr>
        <w:br/>
      </w:r>
      <w:r w:rsidR="00A16B80" w:rsidRPr="00DE706C">
        <w:rPr>
          <w:rFonts w:eastAsia="Times New Roman" w:cstheme="minorHAnsi"/>
          <w:b/>
          <w:bCs/>
          <w:color w:val="000000"/>
          <w:sz w:val="28"/>
          <w:szCs w:val="28"/>
        </w:rPr>
        <w:t>Standard Scores and Educational Performance Ranges</w:t>
      </w:r>
      <w:r w:rsidR="00A16B80" w:rsidRPr="00DE706C">
        <w:rPr>
          <w:rFonts w:eastAsia="Times New Roman" w:cstheme="minorHAnsi"/>
          <w:sz w:val="28"/>
          <w:szCs w:val="28"/>
        </w:rPr>
        <w:br/>
      </w:r>
      <w:r w:rsidR="00A16B80" w:rsidRPr="00DE706C">
        <w:rPr>
          <w:rFonts w:eastAsia="Times New Roman" w:cstheme="minorHAnsi"/>
          <w:b/>
          <w:bCs/>
          <w:color w:val="000000"/>
          <w:sz w:val="28"/>
          <w:szCs w:val="28"/>
        </w:rPr>
        <w:t xml:space="preserve">Above Educational Average → </w:t>
      </w:r>
      <w:r w:rsidR="00A16B80" w:rsidRPr="00DE706C">
        <w:rPr>
          <w:rFonts w:eastAsia="Times New Roman" w:cstheme="minorHAnsi"/>
          <w:color w:val="000000"/>
          <w:sz w:val="28"/>
          <w:szCs w:val="28"/>
        </w:rPr>
        <w:t>Standard score 115 and above (+1 SD above the mean)</w:t>
      </w:r>
      <w:r w:rsidR="00A16B80" w:rsidRPr="00DE706C">
        <w:rPr>
          <w:rFonts w:eastAsia="Times New Roman" w:cstheme="minorHAnsi"/>
          <w:sz w:val="28"/>
          <w:szCs w:val="28"/>
        </w:rPr>
        <w:br/>
      </w:r>
      <w:r w:rsidR="00A16B80" w:rsidRPr="00DE706C">
        <w:rPr>
          <w:rFonts w:eastAsia="Times New Roman" w:cstheme="minorHAnsi"/>
          <w:b/>
          <w:bCs/>
          <w:color w:val="000000"/>
          <w:sz w:val="28"/>
          <w:szCs w:val="28"/>
        </w:rPr>
        <w:t>Average Educational Range →  </w:t>
      </w:r>
      <w:r w:rsidR="00A16B80" w:rsidRPr="00DE706C">
        <w:rPr>
          <w:rFonts w:eastAsia="Times New Roman" w:cstheme="minorHAnsi"/>
          <w:color w:val="000000"/>
          <w:sz w:val="28"/>
          <w:szCs w:val="28"/>
        </w:rPr>
        <w:t>Standard score 86 to 114 (within +/-1 SD of the mean)</w:t>
      </w:r>
      <w:r w:rsidR="00A16B80" w:rsidRPr="00DE706C">
        <w:rPr>
          <w:rFonts w:eastAsia="Times New Roman" w:cstheme="minorHAnsi"/>
          <w:sz w:val="28"/>
          <w:szCs w:val="28"/>
        </w:rPr>
        <w:br/>
      </w:r>
      <w:r w:rsidR="00A16B80" w:rsidRPr="00DE706C">
        <w:rPr>
          <w:rFonts w:eastAsia="Times New Roman" w:cstheme="minorHAnsi"/>
          <w:b/>
          <w:bCs/>
          <w:color w:val="000000"/>
          <w:sz w:val="28"/>
          <w:szCs w:val="28"/>
        </w:rPr>
        <w:t>Marginal Educational Range →  </w:t>
      </w:r>
      <w:r w:rsidR="00A16B80" w:rsidRPr="00DE706C">
        <w:rPr>
          <w:rFonts w:eastAsia="Times New Roman" w:cstheme="minorHAnsi"/>
          <w:color w:val="000000"/>
          <w:sz w:val="28"/>
          <w:szCs w:val="28"/>
        </w:rPr>
        <w:t>Standard score 79 to 85 (within -1 to -1.5 SD of the mean)</w:t>
      </w:r>
      <w:r w:rsidR="00A16B80" w:rsidRPr="00DE706C">
        <w:rPr>
          <w:rFonts w:eastAsia="Times New Roman" w:cstheme="minorHAnsi"/>
          <w:sz w:val="28"/>
          <w:szCs w:val="28"/>
        </w:rPr>
        <w:br/>
      </w:r>
      <w:r w:rsidR="00A16B80" w:rsidRPr="00DE706C">
        <w:rPr>
          <w:rFonts w:eastAsia="Times New Roman" w:cstheme="minorHAnsi"/>
          <w:b/>
          <w:bCs/>
          <w:color w:val="000000"/>
          <w:sz w:val="28"/>
          <w:szCs w:val="28"/>
        </w:rPr>
        <w:t>Low Educational Range →  </w:t>
      </w:r>
      <w:r w:rsidR="00A16B80" w:rsidRPr="00DE706C">
        <w:rPr>
          <w:rFonts w:eastAsia="Times New Roman" w:cstheme="minorHAnsi"/>
          <w:color w:val="000000"/>
          <w:sz w:val="28"/>
          <w:szCs w:val="28"/>
        </w:rPr>
        <w:t>Standard score 71 to 78 (within -1.5 to -2 SD of the mean)</w:t>
      </w:r>
      <w:r w:rsidR="00A16B80" w:rsidRPr="00DE706C">
        <w:rPr>
          <w:rFonts w:eastAsia="Times New Roman" w:cstheme="minorHAnsi"/>
          <w:sz w:val="28"/>
          <w:szCs w:val="28"/>
        </w:rPr>
        <w:br/>
      </w:r>
      <w:r w:rsidR="00A16B80" w:rsidRPr="00DE706C">
        <w:rPr>
          <w:rFonts w:eastAsia="Times New Roman" w:cstheme="minorHAnsi"/>
          <w:b/>
          <w:bCs/>
          <w:color w:val="000000"/>
          <w:sz w:val="28"/>
          <w:szCs w:val="28"/>
        </w:rPr>
        <w:t>Very Low Educational Range →  </w:t>
      </w:r>
      <w:r w:rsidR="00A16B80" w:rsidRPr="00DE706C">
        <w:rPr>
          <w:rFonts w:eastAsia="Times New Roman" w:cstheme="minorHAnsi"/>
          <w:color w:val="000000"/>
          <w:sz w:val="28"/>
          <w:szCs w:val="28"/>
        </w:rPr>
        <w:t>Standard score 70 and below (-2 SD below the mean)</w:t>
      </w:r>
    </w:p>
    <w:p w:rsidR="00A16B80" w:rsidRPr="00DE706C" w:rsidRDefault="00A16B80" w:rsidP="00A16B80">
      <w:pPr>
        <w:rPr>
          <w:rFonts w:eastAsia="Times New Roman" w:cstheme="minorHAnsi"/>
          <w:color w:val="000000"/>
          <w:sz w:val="28"/>
          <w:szCs w:val="28"/>
        </w:rPr>
      </w:pPr>
    </w:p>
    <w:p w:rsidR="00A16B80" w:rsidRPr="00DE706C" w:rsidRDefault="00A16B80" w:rsidP="00A16B80">
      <w:pPr>
        <w:rPr>
          <w:rFonts w:eastAsia="Times New Roman" w:cstheme="minorHAnsi"/>
          <w:color w:val="000000"/>
          <w:sz w:val="28"/>
          <w:szCs w:val="28"/>
        </w:rPr>
      </w:pPr>
    </w:p>
    <w:p w:rsidR="00824000" w:rsidRPr="00DE706C" w:rsidRDefault="00824000">
      <w:pPr>
        <w:rPr>
          <w:rFonts w:eastAsia="Times New Roman" w:cstheme="minorHAnsi"/>
          <w:b/>
          <w:color w:val="000000"/>
          <w:sz w:val="28"/>
          <w:szCs w:val="28"/>
          <w:u w:val="single"/>
        </w:rPr>
      </w:pPr>
    </w:p>
    <w:sectPr w:rsidR="00824000" w:rsidRPr="00DE706C" w:rsidSect="00824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20"/>
  <w:characterSpacingControl w:val="doNotCompress"/>
  <w:compat/>
  <w:rsids>
    <w:rsidRoot w:val="00A16B80"/>
    <w:rsid w:val="00255180"/>
    <w:rsid w:val="00411500"/>
    <w:rsid w:val="00824000"/>
    <w:rsid w:val="00914F64"/>
    <w:rsid w:val="00A16B80"/>
    <w:rsid w:val="00CF7D4B"/>
    <w:rsid w:val="00D55AB0"/>
    <w:rsid w:val="00DE706C"/>
    <w:rsid w:val="00E509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B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B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374</Words>
  <Characters>2133</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GSSD</dc:creator>
  <cp:lastModifiedBy>GSSD</cp:lastModifiedBy>
  <cp:revision>2</cp:revision>
  <dcterms:created xsi:type="dcterms:W3CDTF">2012-09-14T19:55:00Z</dcterms:created>
  <dcterms:modified xsi:type="dcterms:W3CDTF">2012-09-14T19:55:00Z</dcterms:modified>
</cp:coreProperties>
</file>